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right="0" w:firstLine="640"/>
        <w:jc w:val="center"/>
        <w:rPr>
          <w:rFonts w:hint="eastAsia" w:ascii="黑体" w:hAnsi="黑体" w:eastAsia="黑体" w:cs="黑体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"/>
        </w:rPr>
        <w:t>2016年预算公开补充说明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right="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right="0" w:firstLine="64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2016年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预算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国内公务接待137批次、806人次，公务用车保有量为22辆。</w:t>
      </w:r>
      <w:bookmarkStart w:id="0" w:name="_GoBack"/>
      <w:bookmarkEnd w:id="0"/>
    </w:p>
    <w:tbl>
      <w:tblPr>
        <w:tblW w:w="8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5"/>
        <w:gridCol w:w="1440"/>
        <w:gridCol w:w="2280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公务用车保有量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国内公务接待批次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国内公务接待人数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枣庄市民政局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枣庄市民政局机关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枣庄市社会福利院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枣庄市革命烈士陵园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枣庄市福利事业管理处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枣庄市居民家庭经济状况核对中心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枣庄市救助管理站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枣庄市军用饮食供应站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枣庄市慈善总会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枣庄市儿童福利院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枣庄市荣军康复医院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</w:tbl>
    <w:tbl>
      <w:tblPr>
        <w:tblpPr w:leftFromText="180" w:rightFromText="180" w:vertAnchor="text" w:horzAnchor="page" w:tblpX="1261" w:tblpY="459"/>
        <w:tblOverlap w:val="never"/>
        <w:tblW w:w="100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5"/>
        <w:gridCol w:w="683"/>
        <w:gridCol w:w="1036"/>
        <w:gridCol w:w="1063"/>
        <w:gridCol w:w="798"/>
        <w:gridCol w:w="1063"/>
        <w:gridCol w:w="2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00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2016年一般公共预算财政资金“三公”经费支出预算表（按单位）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因公出国（境）经费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公务用车购置和运行维护费</w:t>
            </w:r>
          </w:p>
        </w:tc>
        <w:tc>
          <w:tcPr>
            <w:tcW w:w="2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公务用车购置经费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2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枣庄市民政局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31.87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枣庄市民政局机关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枣庄市社会福利院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枣庄市革命烈士陵园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枣庄市福利事业管理处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枣庄市居民家庭经济状况核对中心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枣庄市救助管理站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枣庄市军用饮食供应站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枣庄市慈善总会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枣庄市荣军康复医院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right="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800E3"/>
    <w:rsid w:val="08A77061"/>
    <w:rsid w:val="0A4C6915"/>
    <w:rsid w:val="191401F8"/>
    <w:rsid w:val="240800E3"/>
    <w:rsid w:val="2802454F"/>
    <w:rsid w:val="50660897"/>
    <w:rsid w:val="7FC57D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2016-08-24T02:37:00Z</dcterms:created>
  <dc:creator>Administrator</dc:creator>
  <cp:lastModifiedBy>Administrator</cp:lastModifiedBy>
  <cp:lastPrinted>2016-08-24T03:51:41Z</cp:lastPrinted>
  <dcterms:modified xsi:type="dcterms:W3CDTF">2016-08-24T03:55:34Z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