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宋体"/>
          <w:sz w:val="28"/>
          <w:szCs w:val="28"/>
        </w:rPr>
      </w:pPr>
      <w:r>
        <w:rPr>
          <w:rFonts w:hint="eastAsia" w:ascii="黑体" w:hAnsi="黑体" w:eastAsia="黑体" w:cs="宋体"/>
          <w:sz w:val="28"/>
          <w:szCs w:val="28"/>
        </w:rPr>
        <w:t>附件</w:t>
      </w:r>
      <w:r>
        <w:rPr>
          <w:rFonts w:hint="default" w:ascii="黑体" w:hAnsi="黑体" w:eastAsia="黑体" w:cs="宋体"/>
          <w:sz w:val="28"/>
          <w:szCs w:val="28"/>
        </w:rPr>
        <w:t>1</w:t>
      </w:r>
    </w:p>
    <w:p>
      <w:pPr>
        <w:keepNext w:val="0"/>
        <w:keepLines w:val="0"/>
        <w:pageBreakBefore w:val="0"/>
        <w:widowControl/>
        <w:kinsoku/>
        <w:wordWrap/>
        <w:overflowPunct/>
        <w:topLinePunct w:val="0"/>
        <w:autoSpaceDE/>
        <w:autoSpaceDN/>
        <w:bidi w:val="0"/>
        <w:adjustRightInd w:val="0"/>
        <w:snapToGrid w:val="0"/>
        <w:spacing w:after="200" w:line="120" w:lineRule="auto"/>
        <w:ind w:left="0" w:leftChars="0" w:right="0" w:rightChars="0" w:firstLine="0" w:firstLineChars="0"/>
        <w:jc w:val="center"/>
        <w:textAlignment w:val="auto"/>
        <w:outlineLvl w:val="9"/>
        <w:rPr>
          <w:rFonts w:hint="eastAsia" w:ascii="方正大标宋简体" w:hAnsi="宋体" w:eastAsia="方正大标宋简体" w:cs="宋体"/>
          <w:sz w:val="32"/>
          <w:szCs w:val="32"/>
        </w:rPr>
      </w:pPr>
      <w:r>
        <w:rPr>
          <w:rFonts w:hint="eastAsia" w:ascii="方正大标宋简体" w:hAnsi="宋体" w:eastAsia="方正大标宋简体" w:cs="宋体"/>
          <w:sz w:val="32"/>
          <w:szCs w:val="32"/>
          <w:lang w:eastAsia="zh-CN"/>
        </w:rPr>
        <w:t>枣庄市社会福利院</w:t>
      </w:r>
      <w:r>
        <w:rPr>
          <w:rFonts w:hint="eastAsia" w:ascii="方正大标宋简体" w:hAnsi="宋体" w:eastAsia="方正大标宋简体" w:cs="宋体"/>
          <w:sz w:val="32"/>
          <w:szCs w:val="32"/>
        </w:rPr>
        <w:t>业务范围清单</w:t>
      </w:r>
    </w:p>
    <w:p>
      <w:pPr>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主管部门、单位（公章）：</w:t>
      </w:r>
      <w:r>
        <w:rPr>
          <w:rFonts w:hint="eastAsia" w:ascii="仿宋_GB2312" w:hAnsi="仿宋_GB2312" w:eastAsia="仿宋_GB2312" w:cs="仿宋_GB2312"/>
          <w:sz w:val="21"/>
          <w:szCs w:val="21"/>
          <w:lang w:eastAsia="zh-CN"/>
        </w:rPr>
        <w:t>枣庄市民政局</w:t>
      </w:r>
      <w:r>
        <w:rPr>
          <w:rFonts w:hint="eastAsia" w:ascii="仿宋_GB2312" w:hAnsi="仿宋_GB2312" w:eastAsia="仿宋_GB2312" w:cs="仿宋_GB2312"/>
          <w:sz w:val="21"/>
          <w:szCs w:val="21"/>
        </w:rPr>
        <w:t xml:space="preserve">                                    </w:t>
      </w: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sz w:val="21"/>
          <w:szCs w:val="21"/>
        </w:rPr>
        <w:t>事业单位法定代表人签字：</w:t>
      </w:r>
      <w:r>
        <w:rPr>
          <w:rFonts w:hint="eastAsia" w:ascii="仿宋_GB2312" w:hAnsi="仿宋_GB2312" w:eastAsia="仿宋_GB2312" w:cs="仿宋_GB2312"/>
          <w:sz w:val="21"/>
          <w:szCs w:val="21"/>
          <w:lang w:eastAsia="zh-CN"/>
        </w:rPr>
        <w:t>张敬超</w:t>
      </w:r>
    </w:p>
    <w:p>
      <w:pPr>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 xml:space="preserve">事  业  单  位  (公章): </w:t>
      </w:r>
      <w:r>
        <w:rPr>
          <w:rFonts w:hint="eastAsia" w:ascii="仿宋_GB2312" w:hAnsi="仿宋_GB2312" w:eastAsia="仿宋_GB2312" w:cs="仿宋_GB2312"/>
          <w:sz w:val="21"/>
          <w:szCs w:val="21"/>
          <w:lang w:eastAsia="zh-CN"/>
        </w:rPr>
        <w:t>枣庄市社会福利院</w:t>
      </w:r>
      <w:r>
        <w:rPr>
          <w:rFonts w:hint="eastAsia" w:ascii="仿宋_GB2312" w:hAnsi="仿宋_GB2312" w:eastAsia="仿宋_GB2312" w:cs="仿宋_GB2312"/>
          <w:sz w:val="21"/>
          <w:szCs w:val="21"/>
        </w:rPr>
        <w:t xml:space="preserve">                          </w:t>
      </w: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sz w:val="21"/>
          <w:szCs w:val="21"/>
        </w:rPr>
        <w:t xml:space="preserve"> 填     报     日    期： </w:t>
      </w:r>
      <w:r>
        <w:rPr>
          <w:rFonts w:hint="eastAsia" w:ascii="仿宋_GB2312" w:hAnsi="仿宋_GB2312" w:eastAsia="仿宋_GB2312" w:cs="仿宋_GB2312"/>
          <w:sz w:val="21"/>
          <w:szCs w:val="21"/>
          <w:lang w:val="en-US" w:eastAsia="zh-CN"/>
        </w:rPr>
        <w:t>2018年7月27日</w:t>
      </w:r>
    </w:p>
    <w:tbl>
      <w:tblPr>
        <w:tblStyle w:val="6"/>
        <w:tblW w:w="15660" w:type="dxa"/>
        <w:jc w:val="center"/>
        <w:tblInd w:w="-631" w:type="dxa"/>
        <w:tblLayout w:type="fixed"/>
        <w:tblCellMar>
          <w:top w:w="0" w:type="dxa"/>
          <w:left w:w="108" w:type="dxa"/>
          <w:bottom w:w="0" w:type="dxa"/>
          <w:right w:w="108" w:type="dxa"/>
        </w:tblCellMar>
      </w:tblPr>
      <w:tblGrid>
        <w:gridCol w:w="400"/>
        <w:gridCol w:w="1520"/>
        <w:gridCol w:w="780"/>
        <w:gridCol w:w="2235"/>
        <w:gridCol w:w="2340"/>
        <w:gridCol w:w="1537"/>
        <w:gridCol w:w="1088"/>
        <w:gridCol w:w="1122"/>
        <w:gridCol w:w="895"/>
        <w:gridCol w:w="702"/>
        <w:gridCol w:w="736"/>
        <w:gridCol w:w="667"/>
        <w:gridCol w:w="1008"/>
        <w:gridCol w:w="630"/>
      </w:tblGrid>
      <w:tr>
        <w:tblPrEx>
          <w:tblLayout w:type="fixed"/>
          <w:tblCellMar>
            <w:top w:w="0" w:type="dxa"/>
            <w:left w:w="108" w:type="dxa"/>
            <w:bottom w:w="0" w:type="dxa"/>
            <w:right w:w="108" w:type="dxa"/>
          </w:tblCellMar>
        </w:tblPrEx>
        <w:trPr>
          <w:trHeight w:val="319" w:hRule="atLeast"/>
          <w:jc w:val="center"/>
        </w:trPr>
        <w:tc>
          <w:tcPr>
            <w:tcW w:w="1920"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单位名称</w:t>
            </w:r>
          </w:p>
        </w:tc>
        <w:tc>
          <w:tcPr>
            <w:tcW w:w="3015"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仿宋_GB2312" w:hAnsi="仿宋_GB2312" w:eastAsia="仿宋_GB2312" w:cs="仿宋_GB2312"/>
                <w:b w:val="0"/>
                <w:bCs w:val="0"/>
                <w:sz w:val="21"/>
                <w:szCs w:val="21"/>
                <w:lang w:eastAsia="zh-CN"/>
              </w:rPr>
              <w:t>枣庄市社会福利院</w:t>
            </w:r>
          </w:p>
        </w:tc>
        <w:tc>
          <w:tcPr>
            <w:tcW w:w="23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统一社会信用代码</w:t>
            </w:r>
          </w:p>
        </w:tc>
        <w:tc>
          <w:tcPr>
            <w:tcW w:w="2625"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仿宋_GB2312" w:hAnsi="仿宋_GB2312" w:eastAsia="仿宋_GB2312" w:cs="仿宋_GB2312"/>
                <w:b w:val="0"/>
                <w:bCs w:val="0"/>
                <w:sz w:val="21"/>
                <w:szCs w:val="21"/>
                <w:lang w:val="en-US" w:eastAsia="zh-CN"/>
              </w:rPr>
              <w:t>12370400493311842F</w:t>
            </w:r>
          </w:p>
        </w:tc>
        <w:tc>
          <w:tcPr>
            <w:tcW w:w="112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单位地址</w:t>
            </w:r>
          </w:p>
        </w:tc>
        <w:tc>
          <w:tcPr>
            <w:tcW w:w="4638" w:type="dxa"/>
            <w:gridSpan w:val="6"/>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仿宋_GB2312" w:hAnsi="仿宋_GB2312" w:eastAsia="仿宋_GB2312" w:cs="仿宋_GB2312"/>
                <w:b w:val="0"/>
                <w:bCs w:val="0"/>
                <w:sz w:val="21"/>
                <w:szCs w:val="21"/>
                <w:lang w:eastAsia="zh-CN"/>
              </w:rPr>
              <w:t>枣庄市峄城区峄山南路</w:t>
            </w:r>
            <w:r>
              <w:rPr>
                <w:rFonts w:hint="eastAsia" w:ascii="仿宋_GB2312" w:hAnsi="仿宋_GB2312" w:eastAsia="仿宋_GB2312" w:cs="仿宋_GB2312"/>
                <w:b w:val="0"/>
                <w:bCs w:val="0"/>
                <w:sz w:val="21"/>
                <w:szCs w:val="21"/>
                <w:lang w:val="en-US" w:eastAsia="zh-CN"/>
              </w:rPr>
              <w:t>3号</w:t>
            </w:r>
          </w:p>
        </w:tc>
      </w:tr>
      <w:tr>
        <w:tblPrEx>
          <w:tblLayout w:type="fixed"/>
          <w:tblCellMar>
            <w:top w:w="0" w:type="dxa"/>
            <w:left w:w="108" w:type="dxa"/>
            <w:bottom w:w="0" w:type="dxa"/>
            <w:right w:w="108" w:type="dxa"/>
          </w:tblCellMar>
        </w:tblPrEx>
        <w:trPr>
          <w:trHeight w:val="312" w:hRule="atLeast"/>
          <w:jc w:val="center"/>
        </w:trPr>
        <w:tc>
          <w:tcPr>
            <w:tcW w:w="19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rPr>
            </w:pPr>
          </w:p>
        </w:tc>
        <w:tc>
          <w:tcPr>
            <w:tcW w:w="3015"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rPr>
            </w:pPr>
          </w:p>
        </w:tc>
        <w:tc>
          <w:tcPr>
            <w:tcW w:w="23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rPr>
            </w:pPr>
          </w:p>
        </w:tc>
        <w:tc>
          <w:tcPr>
            <w:tcW w:w="2625"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rPr>
            </w:pPr>
          </w:p>
        </w:tc>
        <w:tc>
          <w:tcPr>
            <w:tcW w:w="112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rPr>
            </w:pPr>
          </w:p>
        </w:tc>
        <w:tc>
          <w:tcPr>
            <w:tcW w:w="4638" w:type="dxa"/>
            <w:gridSpan w:val="6"/>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rPr>
            </w:pPr>
          </w:p>
        </w:tc>
      </w:tr>
      <w:tr>
        <w:tblPrEx>
          <w:tblLayout w:type="fixed"/>
          <w:tblCellMar>
            <w:top w:w="0" w:type="dxa"/>
            <w:left w:w="108" w:type="dxa"/>
            <w:bottom w:w="0" w:type="dxa"/>
            <w:right w:w="108" w:type="dxa"/>
          </w:tblCellMar>
        </w:tblPrEx>
        <w:trPr>
          <w:trHeight w:val="777" w:hRule="atLeast"/>
          <w:jc w:val="center"/>
        </w:trPr>
        <w:tc>
          <w:tcPr>
            <w:tcW w:w="4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序号</w:t>
            </w:r>
          </w:p>
        </w:tc>
        <w:tc>
          <w:tcPr>
            <w:tcW w:w="15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事项</w:t>
            </w:r>
            <w:r>
              <w:rPr>
                <w:rFonts w:hint="eastAsia" w:ascii="黑体" w:hAnsi="黑体" w:eastAsia="黑体" w:cs="黑体"/>
                <w:b w:val="0"/>
                <w:bCs w:val="0"/>
                <w:sz w:val="21"/>
                <w:szCs w:val="21"/>
              </w:rPr>
              <w:br w:type="textWrapping"/>
            </w:r>
            <w:r>
              <w:rPr>
                <w:rFonts w:hint="eastAsia" w:ascii="黑体" w:hAnsi="黑体" w:eastAsia="黑体" w:cs="黑体"/>
                <w:b w:val="0"/>
                <w:bCs w:val="0"/>
                <w:sz w:val="21"/>
                <w:szCs w:val="21"/>
              </w:rPr>
              <w:t>名称</w:t>
            </w: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事项</w:t>
            </w:r>
          </w:p>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类别</w:t>
            </w:r>
          </w:p>
        </w:tc>
        <w:tc>
          <w:tcPr>
            <w:tcW w:w="22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实施依据</w:t>
            </w:r>
          </w:p>
        </w:tc>
        <w:tc>
          <w:tcPr>
            <w:tcW w:w="23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主要内容</w:t>
            </w:r>
          </w:p>
        </w:tc>
        <w:tc>
          <w:tcPr>
            <w:tcW w:w="153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服务对象</w:t>
            </w:r>
          </w:p>
        </w:tc>
        <w:tc>
          <w:tcPr>
            <w:tcW w:w="108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承办</w:t>
            </w:r>
          </w:p>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机构</w:t>
            </w:r>
          </w:p>
        </w:tc>
        <w:tc>
          <w:tcPr>
            <w:tcW w:w="1122" w:type="dxa"/>
            <w:tcBorders>
              <w:top w:val="single" w:color="auto" w:sz="4" w:space="0"/>
              <w:left w:val="nil"/>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共同实施单位</w:t>
            </w:r>
          </w:p>
        </w:tc>
        <w:tc>
          <w:tcPr>
            <w:tcW w:w="895" w:type="dxa"/>
            <w:tcBorders>
              <w:top w:val="single" w:color="auto" w:sz="4" w:space="0"/>
              <w:left w:val="nil"/>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是否收费及标准</w:t>
            </w:r>
          </w:p>
        </w:tc>
        <w:tc>
          <w:tcPr>
            <w:tcW w:w="7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服务</w:t>
            </w:r>
          </w:p>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期限</w:t>
            </w:r>
          </w:p>
        </w:tc>
        <w:tc>
          <w:tcPr>
            <w:tcW w:w="736" w:type="dxa"/>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年度业务量</w:t>
            </w:r>
          </w:p>
        </w:tc>
        <w:tc>
          <w:tcPr>
            <w:tcW w:w="66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开展成效</w:t>
            </w:r>
          </w:p>
        </w:tc>
        <w:tc>
          <w:tcPr>
            <w:tcW w:w="100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联系</w:t>
            </w:r>
            <w:r>
              <w:rPr>
                <w:rFonts w:hint="eastAsia" w:ascii="黑体" w:hAnsi="黑体" w:eastAsia="黑体" w:cs="黑体"/>
                <w:b w:val="0"/>
                <w:bCs w:val="0"/>
                <w:sz w:val="21"/>
                <w:szCs w:val="21"/>
                <w:lang w:val="en-US" w:eastAsia="zh-CN"/>
              </w:rPr>
              <w:t xml:space="preserve">  </w:t>
            </w:r>
            <w:r>
              <w:rPr>
                <w:rFonts w:hint="eastAsia" w:ascii="黑体" w:hAnsi="黑体" w:eastAsia="黑体" w:cs="黑体"/>
                <w:b w:val="0"/>
                <w:bCs w:val="0"/>
                <w:sz w:val="21"/>
                <w:szCs w:val="21"/>
              </w:rPr>
              <w:t>方式</w:t>
            </w:r>
          </w:p>
        </w:tc>
        <w:tc>
          <w:tcPr>
            <w:tcW w:w="63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备注</w:t>
            </w:r>
          </w:p>
        </w:tc>
      </w:tr>
      <w:tr>
        <w:tblPrEx>
          <w:tblLayout w:type="fixed"/>
          <w:tblCellMar>
            <w:top w:w="0" w:type="dxa"/>
            <w:left w:w="108" w:type="dxa"/>
            <w:bottom w:w="0" w:type="dxa"/>
            <w:right w:w="108" w:type="dxa"/>
          </w:tblCellMar>
        </w:tblPrEx>
        <w:trPr>
          <w:trHeight w:val="2666" w:hRule="atLeast"/>
          <w:jc w:val="center"/>
        </w:trPr>
        <w:tc>
          <w:tcPr>
            <w:tcW w:w="4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val="en-US" w:eastAsia="zh-CN"/>
              </w:rPr>
            </w:pPr>
          </w:p>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p>
        </w:tc>
        <w:tc>
          <w:tcPr>
            <w:tcW w:w="152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三无人员</w:t>
            </w:r>
          </w:p>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供养服务</w:t>
            </w:r>
          </w:p>
        </w:tc>
        <w:tc>
          <w:tcPr>
            <w:tcW w:w="78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公益服务</w:t>
            </w:r>
          </w:p>
        </w:tc>
        <w:tc>
          <w:tcPr>
            <w:tcW w:w="22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国务院令第649号《社会救助暂行办法》第14条和第19条</w:t>
            </w:r>
          </w:p>
        </w:tc>
        <w:tc>
          <w:tcPr>
            <w:tcW w:w="234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left"/>
              <w:rPr>
                <w:rFonts w:hint="eastAsia" w:ascii="仿宋_GB2312" w:hAnsi="仿宋_GB2312" w:eastAsia="仿宋_GB2312" w:cs="仿宋_GB2312"/>
                <w:sz w:val="21"/>
                <w:szCs w:val="21"/>
                <w:lang w:eastAsia="zh-CN"/>
              </w:rPr>
            </w:pPr>
          </w:p>
          <w:p>
            <w:pPr>
              <w:keepNext w:val="0"/>
              <w:keepLines w:val="0"/>
              <w:widowControl/>
              <w:suppressLineNumbers w:val="0"/>
              <w:spacing w:before="0" w:beforeAutospacing="0" w:afterAutospacing="0"/>
              <w:ind w:left="0" w:right="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吃饭、穿衣、居住、生活用品、就医、出行、丧葬、</w:t>
            </w:r>
            <w:r>
              <w:rPr>
                <w:rFonts w:hint="eastAsia" w:ascii="仿宋_GB2312" w:hAnsi="仿宋_GB2312" w:eastAsia="仿宋_GB2312" w:cs="仿宋_GB2312"/>
                <w:b w:val="0"/>
                <w:i w:val="0"/>
                <w:caps w:val="0"/>
                <w:color w:val="333333"/>
                <w:spacing w:val="0"/>
                <w:sz w:val="21"/>
                <w:szCs w:val="21"/>
                <w:shd w:val="clear" w:fill="FFFFFF"/>
              </w:rPr>
              <w:t>提供生活起居、文化娱乐、康复训练、医疗保健</w:t>
            </w:r>
            <w:r>
              <w:rPr>
                <w:rFonts w:hint="eastAsia" w:ascii="仿宋_GB2312" w:hAnsi="仿宋_GB2312" w:eastAsia="仿宋_GB2312" w:cs="仿宋_GB2312"/>
                <w:sz w:val="21"/>
                <w:szCs w:val="21"/>
                <w:lang w:eastAsia="zh-CN"/>
              </w:rPr>
              <w:t>等以及相关的日常生活服务。</w:t>
            </w:r>
          </w:p>
        </w:tc>
        <w:tc>
          <w:tcPr>
            <w:tcW w:w="15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eastAsia="zh-CN"/>
              </w:rPr>
            </w:pPr>
          </w:p>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eastAsia="zh-CN"/>
              </w:rPr>
            </w:pPr>
          </w:p>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三无人员</w:t>
            </w:r>
          </w:p>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p>
        </w:tc>
        <w:tc>
          <w:tcPr>
            <w:tcW w:w="108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right="0"/>
              <w:jc w:val="center"/>
              <w:rPr>
                <w:rFonts w:hint="eastAsia" w:ascii="仿宋_GB2312" w:hAnsi="仿宋_GB2312" w:eastAsia="仿宋_GB2312" w:cs="仿宋_GB2312"/>
                <w:sz w:val="21"/>
                <w:szCs w:val="21"/>
                <w:lang w:eastAsia="zh-CN"/>
              </w:rPr>
            </w:pPr>
          </w:p>
          <w:p>
            <w:pPr>
              <w:keepNext w:val="0"/>
              <w:keepLines w:val="0"/>
              <w:widowControl/>
              <w:suppressLineNumbers w:val="0"/>
              <w:spacing w:before="0" w:beforeAutospacing="0" w:afterAutospacing="0"/>
              <w:ind w:right="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枣庄市社会福利院</w:t>
            </w:r>
          </w:p>
        </w:tc>
        <w:tc>
          <w:tcPr>
            <w:tcW w:w="11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val="en-US" w:eastAsia="zh-CN"/>
              </w:rPr>
            </w:pPr>
          </w:p>
        </w:tc>
        <w:tc>
          <w:tcPr>
            <w:tcW w:w="89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否</w:t>
            </w:r>
          </w:p>
        </w:tc>
        <w:tc>
          <w:tcPr>
            <w:tcW w:w="7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长期</w:t>
            </w:r>
          </w:p>
        </w:tc>
        <w:tc>
          <w:tcPr>
            <w:tcW w:w="73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41人</w:t>
            </w:r>
          </w:p>
        </w:tc>
        <w:tc>
          <w:tcPr>
            <w:tcW w:w="66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有效开展</w:t>
            </w:r>
          </w:p>
        </w:tc>
        <w:tc>
          <w:tcPr>
            <w:tcW w:w="100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7711163</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p>
        </w:tc>
      </w:tr>
      <w:tr>
        <w:tblPrEx>
          <w:tblLayout w:type="fixed"/>
          <w:tblCellMar>
            <w:top w:w="0" w:type="dxa"/>
            <w:left w:w="108" w:type="dxa"/>
            <w:bottom w:w="0" w:type="dxa"/>
            <w:right w:w="108" w:type="dxa"/>
          </w:tblCellMar>
        </w:tblPrEx>
        <w:trPr>
          <w:trHeight w:val="2464" w:hRule="atLeast"/>
          <w:jc w:val="center"/>
        </w:trPr>
        <w:tc>
          <w:tcPr>
            <w:tcW w:w="4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val="en-US" w:eastAsia="zh-CN"/>
              </w:rPr>
            </w:pPr>
          </w:p>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c>
          <w:tcPr>
            <w:tcW w:w="152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承接市救助站送来的三个月找不到家的流浪乞讨人员供养服务</w:t>
            </w:r>
          </w:p>
        </w:tc>
        <w:tc>
          <w:tcPr>
            <w:tcW w:w="78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公益服务</w:t>
            </w:r>
          </w:p>
        </w:tc>
        <w:tc>
          <w:tcPr>
            <w:tcW w:w="22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bidi="ar-SA"/>
              </w:rPr>
              <w:t>民发〔2015〕158号民政部、公安部关于加强生活无着流浪乞讨人员身份查询和照料安置工作的意见第二（三）条</w:t>
            </w:r>
          </w:p>
        </w:tc>
        <w:tc>
          <w:tcPr>
            <w:tcW w:w="234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吃饭、穿衣、居住、生活用品、就医、出行、丧葬、</w:t>
            </w:r>
            <w:r>
              <w:rPr>
                <w:rFonts w:hint="eastAsia" w:ascii="仿宋_GB2312" w:hAnsi="仿宋_GB2312" w:eastAsia="仿宋_GB2312" w:cs="仿宋_GB2312"/>
                <w:b w:val="0"/>
                <w:i w:val="0"/>
                <w:caps w:val="0"/>
                <w:color w:val="333333"/>
                <w:spacing w:val="0"/>
                <w:sz w:val="21"/>
                <w:szCs w:val="21"/>
                <w:shd w:val="clear" w:fill="FFFFFF"/>
              </w:rPr>
              <w:t>提供生活起居、文化娱乐、康复训练、医疗保健</w:t>
            </w:r>
            <w:r>
              <w:rPr>
                <w:rFonts w:hint="eastAsia" w:ascii="仿宋_GB2312" w:hAnsi="仿宋_GB2312" w:eastAsia="仿宋_GB2312" w:cs="仿宋_GB2312"/>
                <w:sz w:val="21"/>
                <w:szCs w:val="21"/>
                <w:lang w:eastAsia="zh-CN"/>
              </w:rPr>
              <w:t>等以及相关的日常生活服务。</w:t>
            </w:r>
          </w:p>
        </w:tc>
        <w:tc>
          <w:tcPr>
            <w:tcW w:w="15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left"/>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承接市救助站送来的三个月找不到家的流浪乞讨人员</w:t>
            </w:r>
          </w:p>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p>
        </w:tc>
        <w:tc>
          <w:tcPr>
            <w:tcW w:w="108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枣庄市社会福利院</w:t>
            </w:r>
          </w:p>
        </w:tc>
        <w:tc>
          <w:tcPr>
            <w:tcW w:w="11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eastAsia="zh-CN"/>
              </w:rPr>
            </w:pPr>
          </w:p>
        </w:tc>
        <w:tc>
          <w:tcPr>
            <w:tcW w:w="89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否</w:t>
            </w:r>
          </w:p>
        </w:tc>
        <w:tc>
          <w:tcPr>
            <w:tcW w:w="7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长期</w:t>
            </w:r>
          </w:p>
        </w:tc>
        <w:tc>
          <w:tcPr>
            <w:tcW w:w="73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19人</w:t>
            </w:r>
          </w:p>
        </w:tc>
        <w:tc>
          <w:tcPr>
            <w:tcW w:w="66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有效开展</w:t>
            </w:r>
          </w:p>
        </w:tc>
        <w:tc>
          <w:tcPr>
            <w:tcW w:w="100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7711163</w:t>
            </w:r>
          </w:p>
        </w:tc>
        <w:tc>
          <w:tcPr>
            <w:tcW w:w="63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eastAsia="zh-CN"/>
              </w:rPr>
            </w:pPr>
          </w:p>
        </w:tc>
      </w:tr>
      <w:tr>
        <w:tblPrEx>
          <w:tblLayout w:type="fixed"/>
          <w:tblCellMar>
            <w:top w:w="0" w:type="dxa"/>
            <w:left w:w="108" w:type="dxa"/>
            <w:bottom w:w="0" w:type="dxa"/>
            <w:right w:w="108" w:type="dxa"/>
          </w:tblCellMar>
        </w:tblPrEx>
        <w:trPr>
          <w:trHeight w:val="938" w:hRule="atLeast"/>
          <w:jc w:val="center"/>
        </w:trPr>
        <w:tc>
          <w:tcPr>
            <w:tcW w:w="4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c>
          <w:tcPr>
            <w:tcW w:w="15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内部管理</w:t>
            </w: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其他</w:t>
            </w:r>
          </w:p>
        </w:tc>
        <w:tc>
          <w:tcPr>
            <w:tcW w:w="22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相关规定</w:t>
            </w:r>
          </w:p>
        </w:tc>
        <w:tc>
          <w:tcPr>
            <w:tcW w:w="23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按照章程和有关规定开展的党务、纪检、机构编制、人事、财务、工青妇等内部管理工作.</w:t>
            </w:r>
          </w:p>
        </w:tc>
        <w:tc>
          <w:tcPr>
            <w:tcW w:w="15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本单位</w:t>
            </w:r>
          </w:p>
        </w:tc>
        <w:tc>
          <w:tcPr>
            <w:tcW w:w="108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枣庄市社会福利院</w:t>
            </w:r>
          </w:p>
        </w:tc>
        <w:tc>
          <w:tcPr>
            <w:tcW w:w="1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无</w:t>
            </w:r>
          </w:p>
        </w:tc>
        <w:tc>
          <w:tcPr>
            <w:tcW w:w="8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否</w:t>
            </w:r>
          </w:p>
        </w:tc>
        <w:tc>
          <w:tcPr>
            <w:tcW w:w="7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长期</w:t>
            </w:r>
          </w:p>
        </w:tc>
        <w:tc>
          <w:tcPr>
            <w:tcW w:w="7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不可量化</w:t>
            </w:r>
          </w:p>
        </w:tc>
        <w:tc>
          <w:tcPr>
            <w:tcW w:w="6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有效开展</w:t>
            </w:r>
          </w:p>
        </w:tc>
        <w:tc>
          <w:tcPr>
            <w:tcW w:w="100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7711163</w:t>
            </w:r>
          </w:p>
        </w:tc>
        <w:tc>
          <w:tcPr>
            <w:tcW w:w="6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jc w:val="both"/>
              <w:rPr>
                <w:rFonts w:hint="eastAsia" w:ascii="仿宋_GB2312" w:hAnsi="仿宋_GB2312" w:eastAsia="仿宋_GB2312" w:cs="仿宋_GB2312"/>
                <w:sz w:val="21"/>
                <w:szCs w:val="21"/>
                <w:lang w:val="en-US" w:eastAsia="zh-CN"/>
              </w:rPr>
            </w:pPr>
          </w:p>
        </w:tc>
      </w:tr>
      <w:tr>
        <w:tblPrEx>
          <w:tblLayout w:type="fixed"/>
          <w:tblCellMar>
            <w:top w:w="0" w:type="dxa"/>
            <w:left w:w="108" w:type="dxa"/>
            <w:bottom w:w="0" w:type="dxa"/>
            <w:right w:w="108" w:type="dxa"/>
          </w:tblCellMar>
        </w:tblPrEx>
        <w:trPr>
          <w:trHeight w:val="876" w:hRule="atLeast"/>
          <w:jc w:val="center"/>
        </w:trPr>
        <w:tc>
          <w:tcPr>
            <w:tcW w:w="400" w:type="dxa"/>
            <w:tcBorders>
              <w:top w:val="single" w:color="auto" w:sz="4" w:space="0"/>
              <w:left w:val="single" w:color="auto" w:sz="4" w:space="0"/>
              <w:bottom w:val="single" w:color="auto" w:sz="4" w:space="0"/>
              <w:right w:val="nil"/>
            </w:tcBorders>
            <w:vAlign w:val="center"/>
          </w:tcPr>
          <w:p>
            <w:pPr>
              <w:keepNext w:val="0"/>
              <w:keepLines w:val="0"/>
              <w:widowControl/>
              <w:suppressLineNumbers w:val="0"/>
              <w:spacing w:before="0" w:beforeAutospacing="0" w:afterAutospacing="0"/>
              <w:ind w:left="0" w:right="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合计</w:t>
            </w:r>
          </w:p>
        </w:tc>
        <w:tc>
          <w:tcPr>
            <w:tcW w:w="15260" w:type="dxa"/>
            <w:gridSpan w:val="1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共有业务事项3项，其中行政辅助事项 0  项，公益服务事项 2 项，经营服务 0  项,其他事项 1 项。</w:t>
            </w:r>
          </w:p>
        </w:tc>
      </w:tr>
    </w:tbl>
    <w:p>
      <w:pPr>
        <w:keepNext w:val="0"/>
        <w:keepLines w:val="0"/>
        <w:pageBreakBefore w:val="0"/>
        <w:widowControl/>
        <w:kinsoku/>
        <w:wordWrap/>
        <w:overflowPunct/>
        <w:topLinePunct w:val="0"/>
        <w:autoSpaceDE/>
        <w:autoSpaceDN/>
        <w:bidi w:val="0"/>
        <w:adjustRightInd w:val="0"/>
        <w:snapToGrid w:val="0"/>
        <w:spacing w:line="240" w:lineRule="exact"/>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line="240" w:lineRule="exact"/>
        <w:jc w:val="both"/>
        <w:textAlignment w:val="auto"/>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事业单位填报人: 陈安国                                 事业单位审核人:李春                               主管部门审核人:生辉</w:t>
      </w:r>
    </w:p>
    <w:p>
      <w:pPr>
        <w:keepNext w:val="0"/>
        <w:keepLines w:val="0"/>
        <w:pageBreakBefore w:val="0"/>
        <w:widowControl/>
        <w:kinsoku/>
        <w:wordWrap/>
        <w:overflowPunct/>
        <w:topLinePunct w:val="0"/>
        <w:autoSpaceDE/>
        <w:autoSpaceDN/>
        <w:bidi w:val="0"/>
        <w:adjustRightInd w:val="0"/>
        <w:snapToGrid w:val="0"/>
        <w:spacing w:line="240" w:lineRule="exact"/>
        <w:jc w:val="both"/>
        <w:textAlignment w:val="auto"/>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联   系   电   话:  7731163                             联  系  电  话: 7726163                          </w:t>
      </w:r>
      <w:bookmarkStart w:id="0" w:name="_GoBack"/>
      <w:bookmarkEnd w:id="0"/>
      <w:r>
        <w:rPr>
          <w:rFonts w:hint="eastAsia" w:ascii="仿宋_GB2312" w:hAnsi="仿宋_GB2312" w:eastAsia="仿宋_GB2312" w:cs="仿宋_GB2312"/>
          <w:sz w:val="21"/>
          <w:szCs w:val="21"/>
          <w:lang w:val="en-US" w:eastAsia="zh-CN"/>
        </w:rPr>
        <w:t xml:space="preserve">联 </w:t>
      </w:r>
      <w:r>
        <w:rPr>
          <w:rFonts w:hint="default" w:ascii="仿宋_GB2312" w:hAnsi="仿宋_GB2312" w:eastAsia="仿宋_GB2312" w:cs="仿宋_GB2312"/>
          <w:sz w:val="21"/>
          <w:szCs w:val="21"/>
          <w:lang w:val="en-US" w:eastAsia="zh-CN"/>
        </w:rPr>
        <w:t xml:space="preserve"> </w:t>
      </w:r>
      <w:r>
        <w:rPr>
          <w:rFonts w:hint="eastAsia" w:ascii="仿宋_GB2312" w:hAnsi="仿宋_GB2312" w:eastAsia="仿宋_GB2312" w:cs="仿宋_GB2312"/>
          <w:sz w:val="21"/>
          <w:szCs w:val="21"/>
          <w:lang w:val="en-US" w:eastAsia="zh-CN"/>
        </w:rPr>
        <w:t>系  电 话：3314161</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微软雅黑">
    <w:altName w:val="黑体"/>
    <w:panose1 w:val="020B0503020204020204"/>
    <w:charset w:val="86"/>
    <w:family w:val="swiss"/>
    <w:pitch w:val="default"/>
    <w:sig w:usb0="00000000" w:usb1="00000000" w:usb2="00000016" w:usb3="00000000" w:csb0="0004001F" w:csb1="00000000"/>
  </w:font>
  <w:font w:name="方正大标宋简体">
    <w:altName w:val="宋体"/>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33216"/>
    <w:rsid w:val="00C65E5A"/>
    <w:rsid w:val="06076C39"/>
    <w:rsid w:val="064004AB"/>
    <w:rsid w:val="09D07641"/>
    <w:rsid w:val="0B2C763B"/>
    <w:rsid w:val="0C2B42A4"/>
    <w:rsid w:val="105A2488"/>
    <w:rsid w:val="11330187"/>
    <w:rsid w:val="14AD6E72"/>
    <w:rsid w:val="18BB12A9"/>
    <w:rsid w:val="1A927B11"/>
    <w:rsid w:val="1E2650EE"/>
    <w:rsid w:val="1EF94508"/>
    <w:rsid w:val="1F576B80"/>
    <w:rsid w:val="20341FC4"/>
    <w:rsid w:val="23286E50"/>
    <w:rsid w:val="23EC1D96"/>
    <w:rsid w:val="257C1601"/>
    <w:rsid w:val="26D41B2D"/>
    <w:rsid w:val="285D5576"/>
    <w:rsid w:val="28C33E6C"/>
    <w:rsid w:val="306437CC"/>
    <w:rsid w:val="31C82B54"/>
    <w:rsid w:val="33176D65"/>
    <w:rsid w:val="3BA57408"/>
    <w:rsid w:val="3C260B47"/>
    <w:rsid w:val="4588438E"/>
    <w:rsid w:val="46EE6582"/>
    <w:rsid w:val="480C4101"/>
    <w:rsid w:val="4DAD0B94"/>
    <w:rsid w:val="4F4E4010"/>
    <w:rsid w:val="4F896E03"/>
    <w:rsid w:val="54067694"/>
    <w:rsid w:val="56E527CF"/>
    <w:rsid w:val="57A02724"/>
    <w:rsid w:val="59E124B4"/>
    <w:rsid w:val="5CFE56E6"/>
    <w:rsid w:val="601F05CD"/>
    <w:rsid w:val="63B83A48"/>
    <w:rsid w:val="660F1775"/>
    <w:rsid w:val="66804794"/>
    <w:rsid w:val="6B633216"/>
    <w:rsid w:val="70D46ACE"/>
    <w:rsid w:val="715243B5"/>
    <w:rsid w:val="71C7165C"/>
    <w:rsid w:val="72D72B13"/>
    <w:rsid w:val="780855CC"/>
    <w:rsid w:val="79671633"/>
    <w:rsid w:val="7AA54373"/>
    <w:rsid w:val="7BA416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szCs w:val="18"/>
    </w:rPr>
  </w:style>
  <w:style w:type="paragraph" w:styleId="3">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character" w:styleId="5">
    <w:name w:val="page number"/>
    <w:basedOn w:val="4"/>
    <w:qFormat/>
    <w:uiPriority w:val="0"/>
    <w:rPr>
      <w:rFonts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723</Words>
  <Characters>792</Characters>
  <Lines>0</Lines>
  <Paragraphs>0</Paragraphs>
  <TotalTime>13</TotalTime>
  <ScaleCrop>false</ScaleCrop>
  <LinksUpToDate>false</LinksUpToDate>
  <CharactersWithSpaces>1089</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2017-09-19T08:07:00Z</dcterms:created>
  <dc:creator>Administrator</dc:creator>
  <cp:lastModifiedBy>Administrator</cp:lastModifiedBy>
  <cp:lastPrinted>2017-09-20T01:18:00Z</cp:lastPrinted>
  <dcterms:modified xsi:type="dcterms:W3CDTF">2018-09-13T01:43:08Z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