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648A"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Toc20768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 w14:paraId="1179CEB7"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（学术类社会团体）</w:t>
      </w:r>
    </w:p>
    <w:bookmarkEnd w:id="0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542E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1B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2B9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21C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62E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 w14:paraId="73618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6EB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5A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E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3CC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BD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483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F6D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20C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C1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812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59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FEA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C61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A84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A2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1F9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C7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4EA1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FF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97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46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AEB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55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BA1F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94B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27B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9C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68F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03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52F4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109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D4C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51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483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16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63E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75A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F2D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885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1B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3A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BC81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856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AA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83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247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BB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86C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45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A9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0A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F9D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A7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5F6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82E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224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DF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2D1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双向进入、交叉任职及党组织参与社会团体“三重一大”决策情况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BB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2F70F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1C4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031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C6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3D0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19D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68D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DC8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8C7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CC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604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D5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6A7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438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68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E3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E4B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EF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7F006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8BE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14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17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FBC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FF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10F1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A8B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6C9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8D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1C8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F8E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1F0B0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8F0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518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A0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930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61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A4B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18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FC4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A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F61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7F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BB1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46E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7D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F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1DA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149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5AF3B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51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F0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01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C5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2C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4E1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D58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BDE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D6C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037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AD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A2F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F4C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714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CC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7AA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4E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969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76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73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CC3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AB3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AB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474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9A7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B4C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EF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427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D4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3A55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678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584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40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D7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FF2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C78A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E84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933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A3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E74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90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 w14:paraId="02EC8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E5E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73E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0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72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A4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 w14:paraId="0A7B8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612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D8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C0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C2E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ADD7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A0D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1FA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B1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61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DE1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95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03F80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549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DC3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F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BF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934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3328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618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222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2A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A47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A4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1F47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C14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F1E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D2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A86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23D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8A41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1C4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005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E0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1B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8F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F41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571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0AF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05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E70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1F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360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59A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261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19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AFF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B9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3D8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0A2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52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F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2BB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ED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DFE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FF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5D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8C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BEB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C2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E27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EA9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FA3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A7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1DF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D2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EC3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394D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13A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A3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51B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AC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AE6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B83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2C8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36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944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48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431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AAD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A58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1B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0C2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B9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D33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726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B92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EF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2D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6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4D3F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E3D4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3E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A2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B311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3D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5546D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800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86E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2D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B8ED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科普活动及影响力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08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6C1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04A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6F3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学术活动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ED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学术会议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C9C1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>学术会议活跃度及学术论文交流情况；学术会议影响力及会议成效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EF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710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EF1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F3C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11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学术书刊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5816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学术书刊情况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F3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102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16E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A9A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C9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学术研究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1BFF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学术发展规划制定情况;承担和组织课题等学术研究情况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2E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A42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41C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9E0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E01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学术自律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7207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学术自律制度制定与实施情况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91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2F6A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8ED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222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F3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国内国际交流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DA71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95D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FE57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F2E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ACB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建议咨询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A1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政策建议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FF11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参与制定法律法规、发展规划或提出政策建议等情况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CD9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5481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986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79F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8B3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A72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提供咨询服务情况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86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10D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B68F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A36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F94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AF3D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0B5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707EE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75D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A66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7F6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咨询评估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B0E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开展技能人才评价工作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4A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7AF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E4F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B9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6FC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CF16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继续教育及培训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2A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3A6C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812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AA7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584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人才培养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4A16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青年人才培养和专业人才举荐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E4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77F6C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846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AC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14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138B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9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4C02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3BF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A0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0C5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4DAA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EAA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4020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6B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社会评价(10分）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AC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E5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C63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03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993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BD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352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72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3687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34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338A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42B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35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8F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FF14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B2B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424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7EB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C74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84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3F6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74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DC05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024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A1A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356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5611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559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7A4B67EE">
      <w:pPr>
        <w:adjustRightInd w:val="0"/>
        <w:snapToGrid w:val="0"/>
        <w:spacing w:line="500" w:lineRule="exact"/>
        <w:ind w:firstLine="210" w:firstLineChars="100"/>
      </w:pPr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CD0D73C-DF53-4CF9-8CD4-6FABBF8A82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C6A9515-01C3-439B-ACB4-1AC1A2C1F527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0CBCBC-9284-4958-8F19-E011B5C525C8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9DC970-89A0-4682-80F4-79FE708C8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A3FE"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2A7B"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4EA1A37"/>
    <w:rsid w:val="4B9A2078"/>
    <w:rsid w:val="4D71597A"/>
    <w:rsid w:val="4E7BE35C"/>
    <w:rsid w:val="596F717F"/>
    <w:rsid w:val="73591ABE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8124</Words>
  <Characters>8259</Characters>
  <Lines>96</Lines>
  <Paragraphs>27</Paragraphs>
  <TotalTime>23</TotalTime>
  <ScaleCrop>false</ScaleCrop>
  <LinksUpToDate>false</LinksUpToDate>
  <CharactersWithSpaces>8259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2026-05-19T13:40:00Z</dcterms:created>
  <dc:creator>中心</dc:creator>
  <cp:lastModifiedBy>WPS_1649667543</cp:lastModifiedBy>
  <cp:lastPrinted>2026-05-29T03:39:00Z</cp:lastPrinted>
  <dcterms:modified xsi:type="dcterms:W3CDTF">2026-05-29T08:42:48Z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eyJoZGlkIjoiYWE0MGExMDEwYWE1ZjQ4MDg2ZWU5Y2Q1MzJjNDhiMjEiLCJ1c2VySWQiOiIxMzYxMzg3ODcxIn0=</vt:lpwstr>
  </property>
</Properties>
</file>